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1.The first paragraph contains which of the following?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proofErr w:type="spellStart"/>
      <w:r w:rsidRPr="00CE5F00">
        <w:rPr>
          <w:sz w:val="22"/>
        </w:rPr>
        <w:t>I</w:t>
      </w:r>
      <w:proofErr w:type="spellEnd"/>
      <w:r w:rsidRPr="00CE5F00">
        <w:rPr>
          <w:sz w:val="22"/>
        </w:rPr>
        <w:t xml:space="preserve">. </w:t>
      </w:r>
      <w:proofErr w:type="gramStart"/>
      <w:r w:rsidRPr="00CE5F00">
        <w:rPr>
          <w:sz w:val="22"/>
        </w:rPr>
        <w:t>periodic</w:t>
      </w:r>
      <w:proofErr w:type="gramEnd"/>
      <w:r w:rsidRPr="00CE5F00">
        <w:rPr>
          <w:sz w:val="22"/>
        </w:rPr>
        <w:t xml:space="preserve"> sentence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proofErr w:type="spellStart"/>
      <w:r w:rsidRPr="00CE5F00">
        <w:rPr>
          <w:sz w:val="22"/>
        </w:rPr>
        <w:t>II</w:t>
      </w:r>
      <w:proofErr w:type="spellEnd"/>
      <w:r w:rsidRPr="00CE5F00">
        <w:rPr>
          <w:sz w:val="22"/>
        </w:rPr>
        <w:t>. Compound sentence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proofErr w:type="spellStart"/>
      <w:r w:rsidRPr="00CE5F00">
        <w:rPr>
          <w:sz w:val="22"/>
        </w:rPr>
        <w:t>III</w:t>
      </w:r>
      <w:proofErr w:type="spellEnd"/>
      <w:r w:rsidRPr="00CE5F00">
        <w:rPr>
          <w:sz w:val="22"/>
        </w:rPr>
        <w:t>. Cumulative sentence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r w:rsidRPr="00CE5F00">
        <w:rPr>
          <w:sz w:val="22"/>
        </w:rPr>
        <w:tab/>
      </w:r>
      <w:proofErr w:type="spellStart"/>
      <w:r w:rsidRPr="00CE5F00">
        <w:rPr>
          <w:sz w:val="22"/>
        </w:rPr>
        <w:t>a</w:t>
      </w:r>
      <w:proofErr w:type="spellEnd"/>
      <w:r w:rsidRPr="00CE5F00">
        <w:rPr>
          <w:sz w:val="22"/>
        </w:rPr>
        <w:t>. I only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r w:rsidRPr="00CE5F00">
        <w:rPr>
          <w:sz w:val="22"/>
        </w:rPr>
        <w:tab/>
      </w:r>
      <w:proofErr w:type="spellStart"/>
      <w:r w:rsidRPr="00CE5F00">
        <w:rPr>
          <w:sz w:val="22"/>
        </w:rPr>
        <w:t>b</w:t>
      </w:r>
      <w:proofErr w:type="spellEnd"/>
      <w:r w:rsidRPr="00CE5F00">
        <w:rPr>
          <w:sz w:val="22"/>
        </w:rPr>
        <w:t>. II only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r w:rsidRPr="00CE5F00">
        <w:rPr>
          <w:sz w:val="22"/>
        </w:rPr>
        <w:tab/>
      </w:r>
      <w:proofErr w:type="spellStart"/>
      <w:r w:rsidRPr="00CE5F00">
        <w:rPr>
          <w:sz w:val="22"/>
        </w:rPr>
        <w:t>c</w:t>
      </w:r>
      <w:proofErr w:type="spellEnd"/>
      <w:r w:rsidRPr="00CE5F00">
        <w:rPr>
          <w:sz w:val="22"/>
        </w:rPr>
        <w:t>. III only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r w:rsidRPr="00CE5F00">
        <w:rPr>
          <w:sz w:val="22"/>
        </w:rPr>
        <w:tab/>
        <w:t>d. I and III only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</w:r>
      <w:r w:rsidRPr="00CE5F00">
        <w:rPr>
          <w:sz w:val="22"/>
        </w:rPr>
        <w:tab/>
      </w:r>
      <w:proofErr w:type="spellStart"/>
      <w:r w:rsidRPr="00CE5F00">
        <w:rPr>
          <w:sz w:val="22"/>
        </w:rPr>
        <w:t>e</w:t>
      </w:r>
      <w:proofErr w:type="spellEnd"/>
      <w:r w:rsidRPr="00CE5F00">
        <w:rPr>
          <w:sz w:val="22"/>
        </w:rPr>
        <w:t>. II and III only</w:t>
      </w:r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2. In context, “dear” (par. 1) means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</w:t>
      </w:r>
      <w:proofErr w:type="gramStart"/>
      <w:r w:rsidRPr="00CE5F00">
        <w:rPr>
          <w:sz w:val="22"/>
        </w:rPr>
        <w:t>fond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</w:t>
      </w:r>
      <w:proofErr w:type="gramStart"/>
      <w:r w:rsidRPr="00CE5F00">
        <w:rPr>
          <w:sz w:val="22"/>
        </w:rPr>
        <w:t>precious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</w:t>
      </w:r>
      <w:proofErr w:type="gramStart"/>
      <w:r w:rsidRPr="00CE5F00">
        <w:rPr>
          <w:sz w:val="22"/>
        </w:rPr>
        <w:t>cheap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</w:t>
      </w:r>
      <w:proofErr w:type="gramStart"/>
      <w:r w:rsidRPr="00CE5F00">
        <w:rPr>
          <w:sz w:val="22"/>
        </w:rPr>
        <w:t>salutary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</w:t>
      </w:r>
      <w:proofErr w:type="gramStart"/>
      <w:r w:rsidRPr="00CE5F00">
        <w:rPr>
          <w:sz w:val="22"/>
        </w:rPr>
        <w:t>safe</w:t>
      </w:r>
      <w:proofErr w:type="gramEnd"/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3. Thoreau develops an antithesis in each of the following pairs from paragraph 1 except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a. “</w:t>
      </w:r>
      <w:proofErr w:type="gramStart"/>
      <w:r w:rsidRPr="00CE5F00">
        <w:rPr>
          <w:sz w:val="22"/>
        </w:rPr>
        <w:t>front</w:t>
      </w:r>
      <w:proofErr w:type="gramEnd"/>
      <w:r w:rsidRPr="00CE5F00">
        <w:rPr>
          <w:sz w:val="22"/>
        </w:rPr>
        <w:t xml:space="preserve"> only the essential facts of life” and </w:t>
      </w:r>
      <w:r w:rsidRPr="00CE5F00">
        <w:rPr>
          <w:sz w:val="22"/>
        </w:rPr>
        <w:tab/>
        <w:t>“practice resignation”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b. “</w:t>
      </w:r>
      <w:proofErr w:type="gramStart"/>
      <w:r w:rsidRPr="00CE5F00">
        <w:rPr>
          <w:sz w:val="22"/>
        </w:rPr>
        <w:t>if</w:t>
      </w:r>
      <w:proofErr w:type="gramEnd"/>
      <w:r w:rsidRPr="00CE5F00">
        <w:rPr>
          <w:sz w:val="22"/>
        </w:rPr>
        <w:t xml:space="preserve"> it proved to be mean” and “if it were </w:t>
      </w:r>
      <w:r w:rsidRPr="00CE5F00">
        <w:rPr>
          <w:sz w:val="22"/>
        </w:rPr>
        <w:tab/>
        <w:t>sublime”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c. “</w:t>
      </w:r>
      <w:proofErr w:type="gramStart"/>
      <w:r w:rsidRPr="00CE5F00">
        <w:rPr>
          <w:sz w:val="22"/>
        </w:rPr>
        <w:t>of</w:t>
      </w:r>
      <w:proofErr w:type="gramEnd"/>
      <w:r w:rsidRPr="00CE5F00">
        <w:rPr>
          <w:sz w:val="22"/>
        </w:rPr>
        <w:t xml:space="preserve"> the devil” and “or of God”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d. “</w:t>
      </w:r>
      <w:proofErr w:type="gramStart"/>
      <w:r w:rsidRPr="00CE5F00">
        <w:rPr>
          <w:sz w:val="22"/>
        </w:rPr>
        <w:t>suck</w:t>
      </w:r>
      <w:proofErr w:type="gramEnd"/>
      <w:r w:rsidRPr="00CE5F00">
        <w:rPr>
          <w:sz w:val="22"/>
        </w:rPr>
        <w:t xml:space="preserve"> out all the marrow” and “rout all </w:t>
      </w:r>
      <w:r w:rsidR="00CE5F00" w:rsidRPr="00CE5F00">
        <w:rPr>
          <w:sz w:val="22"/>
        </w:rPr>
        <w:tab/>
      </w:r>
      <w:r w:rsidRPr="00CE5F00">
        <w:rPr>
          <w:sz w:val="22"/>
        </w:rPr>
        <w:t>that was not life”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e. “</w:t>
      </w:r>
      <w:proofErr w:type="gramStart"/>
      <w:r w:rsidRPr="00CE5F00">
        <w:rPr>
          <w:sz w:val="22"/>
        </w:rPr>
        <w:t>genuine</w:t>
      </w:r>
      <w:proofErr w:type="gramEnd"/>
      <w:r w:rsidRPr="00CE5F00">
        <w:rPr>
          <w:sz w:val="22"/>
        </w:rPr>
        <w:t xml:space="preserve"> meanness” and “strange </w:t>
      </w:r>
      <w:r w:rsidRPr="00CE5F00">
        <w:rPr>
          <w:sz w:val="22"/>
        </w:rPr>
        <w:tab/>
        <w:t>uncertainty”</w:t>
      </w:r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 xml:space="preserve">4. Paragraphs 1 and 2 contain each of the following except </w:t>
      </w:r>
      <w:proofErr w:type="gramStart"/>
      <w:r w:rsidRPr="00CE5F00">
        <w:rPr>
          <w:sz w:val="22"/>
        </w:rPr>
        <w:t>a(</w:t>
      </w:r>
      <w:proofErr w:type="gramEnd"/>
      <w:r w:rsidRPr="00CE5F00">
        <w:rPr>
          <w:sz w:val="22"/>
        </w:rPr>
        <w:t>n)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</w:t>
      </w:r>
      <w:proofErr w:type="gramStart"/>
      <w:r w:rsidRPr="00CE5F00">
        <w:rPr>
          <w:sz w:val="22"/>
        </w:rPr>
        <w:t>simile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</w:t>
      </w:r>
      <w:proofErr w:type="gramStart"/>
      <w:r w:rsidRPr="00CE5F00">
        <w:rPr>
          <w:sz w:val="22"/>
        </w:rPr>
        <w:t>oxymoron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</w:t>
      </w:r>
      <w:proofErr w:type="gramStart"/>
      <w:r w:rsidRPr="00CE5F00">
        <w:rPr>
          <w:sz w:val="22"/>
        </w:rPr>
        <w:t>allusion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</w:t>
      </w:r>
      <w:proofErr w:type="gramStart"/>
      <w:r w:rsidRPr="00CE5F00">
        <w:rPr>
          <w:sz w:val="22"/>
        </w:rPr>
        <w:t>paradox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</w:t>
      </w:r>
      <w:proofErr w:type="gramStart"/>
      <w:r w:rsidRPr="00CE5F00">
        <w:rPr>
          <w:sz w:val="22"/>
        </w:rPr>
        <w:t>extended</w:t>
      </w:r>
      <w:proofErr w:type="gramEnd"/>
      <w:r w:rsidRPr="00CE5F00">
        <w:rPr>
          <w:sz w:val="22"/>
        </w:rPr>
        <w:t xml:space="preserve"> metaphor</w:t>
      </w:r>
    </w:p>
    <w:p w:rsidR="00132267" w:rsidRPr="00CE5F00" w:rsidRDefault="00132267" w:rsidP="00132267">
      <w:pPr>
        <w:rPr>
          <w:sz w:val="22"/>
        </w:rPr>
      </w:pPr>
    </w:p>
    <w:p w:rsidR="00B4038E" w:rsidRDefault="00B4038E" w:rsidP="00132267">
      <w:pPr>
        <w:rPr>
          <w:sz w:val="22"/>
        </w:rPr>
      </w:pPr>
    </w:p>
    <w:p w:rsidR="00B4038E" w:rsidRDefault="00B4038E" w:rsidP="00132267">
      <w:pPr>
        <w:rPr>
          <w:sz w:val="22"/>
        </w:rPr>
      </w:pPr>
    </w:p>
    <w:p w:rsidR="00B4038E" w:rsidRDefault="00B4038E" w:rsidP="00132267">
      <w:pPr>
        <w:rPr>
          <w:sz w:val="22"/>
        </w:rPr>
      </w:pPr>
    </w:p>
    <w:p w:rsidR="00B4038E" w:rsidRDefault="00B4038E" w:rsidP="00132267">
      <w:pPr>
        <w:rPr>
          <w:sz w:val="22"/>
        </w:rPr>
      </w:pPr>
    </w:p>
    <w:p w:rsidR="00B4038E" w:rsidRDefault="00B4038E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5. By “my next excursion” (par. 1) Thoreau suggests his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</w:t>
      </w:r>
      <w:proofErr w:type="gramStart"/>
      <w:r w:rsidRPr="00CE5F00">
        <w:rPr>
          <w:sz w:val="22"/>
        </w:rPr>
        <w:t>movement</w:t>
      </w:r>
      <w:proofErr w:type="gramEnd"/>
      <w:r w:rsidRPr="00CE5F00">
        <w:rPr>
          <w:sz w:val="22"/>
        </w:rPr>
        <w:t xml:space="preserve"> to a spiritual afterlife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</w:t>
      </w:r>
      <w:proofErr w:type="gramStart"/>
      <w:r w:rsidRPr="00CE5F00">
        <w:rPr>
          <w:sz w:val="22"/>
        </w:rPr>
        <w:t>next</w:t>
      </w:r>
      <w:proofErr w:type="gramEnd"/>
      <w:r w:rsidRPr="00CE5F00">
        <w:rPr>
          <w:sz w:val="22"/>
        </w:rPr>
        <w:t xml:space="preserve"> hike in the Concord woods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</w:t>
      </w:r>
      <w:proofErr w:type="gramStart"/>
      <w:r w:rsidRPr="00CE5F00">
        <w:rPr>
          <w:sz w:val="22"/>
        </w:rPr>
        <w:t>writing</w:t>
      </w:r>
      <w:proofErr w:type="gramEnd"/>
      <w:r w:rsidRPr="00CE5F00">
        <w:rPr>
          <w:sz w:val="22"/>
        </w:rPr>
        <w:t xml:space="preserve"> of his next book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</w:t>
      </w:r>
      <w:proofErr w:type="gramStart"/>
      <w:r w:rsidRPr="00CE5F00">
        <w:rPr>
          <w:sz w:val="22"/>
        </w:rPr>
        <w:t>taking</w:t>
      </w:r>
      <w:proofErr w:type="gramEnd"/>
      <w:r w:rsidRPr="00CE5F00">
        <w:rPr>
          <w:sz w:val="22"/>
        </w:rPr>
        <w:t xml:space="preserve"> up a new profession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</w:t>
      </w:r>
      <w:proofErr w:type="gramStart"/>
      <w:r w:rsidRPr="00CE5F00">
        <w:rPr>
          <w:sz w:val="22"/>
        </w:rPr>
        <w:t>upcoming</w:t>
      </w:r>
      <w:proofErr w:type="gramEnd"/>
      <w:r w:rsidRPr="00CE5F00">
        <w:rPr>
          <w:sz w:val="22"/>
        </w:rPr>
        <w:t xml:space="preserve"> trip into town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 xml:space="preserve">6. In the second paragraph, Thoreau employs </w:t>
      </w:r>
      <w:proofErr w:type="gramStart"/>
      <w:r w:rsidRPr="00CE5F00">
        <w:rPr>
          <w:sz w:val="22"/>
        </w:rPr>
        <w:t>a play on words</w:t>
      </w:r>
      <w:proofErr w:type="gramEnd"/>
      <w:r w:rsidRPr="00CE5F00">
        <w:rPr>
          <w:sz w:val="22"/>
        </w:rPr>
        <w:t xml:space="preserve"> with which of the following?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</w:t>
      </w:r>
      <w:proofErr w:type="gramStart"/>
      <w:r w:rsidRPr="00CE5F00">
        <w:rPr>
          <w:sz w:val="22"/>
        </w:rPr>
        <w:t>frittered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</w:t>
      </w:r>
      <w:proofErr w:type="gramStart"/>
      <w:r w:rsidRPr="00CE5F00">
        <w:rPr>
          <w:sz w:val="22"/>
        </w:rPr>
        <w:t>quicksand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</w:t>
      </w:r>
      <w:proofErr w:type="gramStart"/>
      <w:r w:rsidRPr="00CE5F00">
        <w:rPr>
          <w:sz w:val="22"/>
        </w:rPr>
        <w:t>sleepers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</w:t>
      </w:r>
      <w:proofErr w:type="gramStart"/>
      <w:r w:rsidRPr="00CE5F00">
        <w:rPr>
          <w:sz w:val="22"/>
        </w:rPr>
        <w:t>dishes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</w:t>
      </w:r>
      <w:proofErr w:type="gramStart"/>
      <w:r w:rsidRPr="00CE5F00">
        <w:rPr>
          <w:sz w:val="22"/>
        </w:rPr>
        <w:t>gang</w:t>
      </w:r>
      <w:proofErr w:type="gramEnd"/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7. Paragraph 3 contains each of the following except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</w:t>
      </w:r>
      <w:proofErr w:type="gramStart"/>
      <w:r w:rsidRPr="00CE5F00">
        <w:rPr>
          <w:sz w:val="22"/>
        </w:rPr>
        <w:t>paradox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</w:t>
      </w:r>
      <w:proofErr w:type="gramStart"/>
      <w:r w:rsidRPr="00CE5F00">
        <w:rPr>
          <w:sz w:val="22"/>
        </w:rPr>
        <w:t>rhetorical</w:t>
      </w:r>
      <w:proofErr w:type="gramEnd"/>
      <w:r w:rsidRPr="00CE5F00">
        <w:rPr>
          <w:sz w:val="22"/>
        </w:rPr>
        <w:t xml:space="preserve"> question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</w:t>
      </w:r>
      <w:proofErr w:type="gramStart"/>
      <w:r w:rsidRPr="00CE5F00">
        <w:rPr>
          <w:sz w:val="22"/>
        </w:rPr>
        <w:t>hyperbole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</w:t>
      </w:r>
      <w:proofErr w:type="gramStart"/>
      <w:r w:rsidRPr="00CE5F00">
        <w:rPr>
          <w:sz w:val="22"/>
        </w:rPr>
        <w:t>analogy</w:t>
      </w:r>
      <w:proofErr w:type="gramEnd"/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</w:t>
      </w:r>
      <w:proofErr w:type="gramStart"/>
      <w:r w:rsidRPr="00CE5F00">
        <w:rPr>
          <w:sz w:val="22"/>
        </w:rPr>
        <w:t>simile</w:t>
      </w:r>
      <w:proofErr w:type="gramEnd"/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 xml:space="preserve">8. The speaker of the passage would most likely agree </w:t>
      </w:r>
      <w:proofErr w:type="gramStart"/>
      <w:r w:rsidRPr="00CE5F00">
        <w:rPr>
          <w:sz w:val="22"/>
        </w:rPr>
        <w:t>with</w:t>
      </w:r>
      <w:proofErr w:type="gramEnd"/>
      <w:r w:rsidRPr="00CE5F00">
        <w:rPr>
          <w:sz w:val="22"/>
        </w:rPr>
        <w:t xml:space="preserve"> which of the following statements?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a. Clarity of purpose and a determined </w:t>
      </w:r>
      <w:r w:rsidRPr="00CE5F00">
        <w:rPr>
          <w:sz w:val="22"/>
        </w:rPr>
        <w:tab/>
        <w:t>approach will bring success in life.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b. The full meaning of life is only to be </w:t>
      </w:r>
      <w:r w:rsidRPr="00CE5F00">
        <w:rPr>
          <w:sz w:val="22"/>
        </w:rPr>
        <w:tab/>
        <w:t>discovered in the afterlife.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c. To understand life, it is essential fore one </w:t>
      </w:r>
      <w:r w:rsidR="00CE5F00" w:rsidRPr="00CE5F00">
        <w:rPr>
          <w:sz w:val="22"/>
        </w:rPr>
        <w:tab/>
      </w:r>
      <w:r w:rsidRPr="00CE5F00">
        <w:rPr>
          <w:sz w:val="22"/>
        </w:rPr>
        <w:t>to keep up with current events.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d. Success in life is predicated by active </w:t>
      </w:r>
      <w:r w:rsidRPr="00CE5F00">
        <w:rPr>
          <w:sz w:val="22"/>
        </w:rPr>
        <w:tab/>
        <w:t>measurement and calculation.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 xml:space="preserve">e. The nation improves with the increased </w:t>
      </w:r>
      <w:r w:rsidRPr="00CE5F00">
        <w:rPr>
          <w:sz w:val="22"/>
        </w:rPr>
        <w:tab/>
        <w:t xml:space="preserve">complexity of its </w:t>
      </w:r>
      <w:proofErr w:type="spellStart"/>
      <w:r w:rsidRPr="00CE5F00">
        <w:rPr>
          <w:sz w:val="22"/>
        </w:rPr>
        <w:t>interrationships</w:t>
      </w:r>
      <w:proofErr w:type="spellEnd"/>
      <w:r w:rsidRPr="00CE5F00">
        <w:rPr>
          <w:sz w:val="22"/>
        </w:rPr>
        <w:t>.</w:t>
      </w:r>
    </w:p>
    <w:p w:rsidR="00132267" w:rsidRPr="00CE5F00" w:rsidRDefault="00132267" w:rsidP="00132267">
      <w:pPr>
        <w:rPr>
          <w:sz w:val="22"/>
        </w:rPr>
      </w:pP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>9. What is the antecedent of “it” in “It lives too fast” (par. 2)?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a. “</w:t>
      </w:r>
      <w:proofErr w:type="gramStart"/>
      <w:r w:rsidRPr="00CE5F00">
        <w:rPr>
          <w:sz w:val="22"/>
        </w:rPr>
        <w:t>our</w:t>
      </w:r>
      <w:proofErr w:type="gramEnd"/>
      <w:r w:rsidRPr="00CE5F00">
        <w:rPr>
          <w:sz w:val="22"/>
        </w:rPr>
        <w:t xml:space="preserve"> life”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b. “German Confederacy”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c. “</w:t>
      </w:r>
      <w:proofErr w:type="gramStart"/>
      <w:r w:rsidRPr="00CE5F00">
        <w:rPr>
          <w:sz w:val="22"/>
        </w:rPr>
        <w:t>rigid</w:t>
      </w:r>
      <w:proofErr w:type="gramEnd"/>
      <w:r w:rsidRPr="00CE5F00">
        <w:rPr>
          <w:sz w:val="22"/>
        </w:rPr>
        <w:t xml:space="preserve"> economy”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d. “</w:t>
      </w:r>
      <w:proofErr w:type="gramStart"/>
      <w:r w:rsidRPr="00CE5F00">
        <w:rPr>
          <w:sz w:val="22"/>
        </w:rPr>
        <w:t>heedless</w:t>
      </w:r>
      <w:proofErr w:type="gramEnd"/>
      <w:r w:rsidRPr="00CE5F00">
        <w:rPr>
          <w:sz w:val="22"/>
        </w:rPr>
        <w:t xml:space="preserve"> expense”</w:t>
      </w:r>
    </w:p>
    <w:p w:rsidR="00132267" w:rsidRPr="00CE5F00" w:rsidRDefault="00132267" w:rsidP="00132267">
      <w:pPr>
        <w:rPr>
          <w:sz w:val="22"/>
        </w:rPr>
      </w:pPr>
      <w:r w:rsidRPr="00CE5F00">
        <w:rPr>
          <w:sz w:val="22"/>
        </w:rPr>
        <w:tab/>
        <w:t>e. “</w:t>
      </w:r>
      <w:proofErr w:type="gramStart"/>
      <w:r w:rsidRPr="00CE5F00">
        <w:rPr>
          <w:sz w:val="22"/>
        </w:rPr>
        <w:t>nation</w:t>
      </w:r>
      <w:proofErr w:type="gramEnd"/>
      <w:r w:rsidRPr="00CE5F00">
        <w:rPr>
          <w:sz w:val="22"/>
        </w:rPr>
        <w:t xml:space="preserve"> itself”</w:t>
      </w:r>
    </w:p>
    <w:p w:rsidR="00132267" w:rsidRPr="00CE5F00" w:rsidRDefault="00132267">
      <w:pPr>
        <w:rPr>
          <w:sz w:val="22"/>
        </w:rPr>
      </w:pPr>
    </w:p>
    <w:sectPr w:rsidR="00132267" w:rsidRPr="00CE5F00" w:rsidSect="00B4038E">
      <w:headerReference w:type="default" r:id="rId5"/>
      <w:pgSz w:w="12240" w:h="15840"/>
      <w:pgMar w:top="1152" w:right="1800" w:bottom="1440" w:left="1440" w:gutter="0"/>
      <w:cols w:num="2" w:sep="1" w:space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64"/>
      <w:gridCol w:w="1152"/>
    </w:tblGrid>
    <w:tr w:rsidR="00D703F8" w:rsidRPr="00D703F8" w:rsidTr="00B4038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sz w:val="24"/>
            </w:rPr>
            <w:alias w:val="Title"/>
            <w:id w:val="10785795"/>
            <w:placeholder>
              <w:docPart w:val="DD040DDF78838E43BC3C9F753E075BF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703F8" w:rsidRPr="00D703F8" w:rsidRDefault="00D703F8" w:rsidP="00D703F8">
              <w:pPr>
                <w:pStyle w:val="Header"/>
                <w:rPr>
                  <w:rFonts w:eastAsiaTheme="minorHAnsi"/>
                  <w:bCs/>
                  <w:sz w:val="24"/>
                  <w:szCs w:val="24"/>
                  <w:lang w:bidi="ar-SA"/>
                </w:rPr>
              </w:pPr>
              <w:r w:rsidRPr="00D703F8">
                <w:rPr>
                  <w:bCs/>
                  <w:sz w:val="24"/>
                </w:rPr>
                <w:t>“Where I Lived, and What I lived for” – Thoreau – Multiple-choice Practice</w:t>
              </w:r>
            </w:p>
          </w:sdtContent>
        </w:sdt>
        <w:p w:rsidR="00D703F8" w:rsidRPr="00D703F8" w:rsidRDefault="00D703F8" w:rsidP="00D703F8">
          <w:pPr>
            <w:pStyle w:val="Header"/>
            <w:rPr>
              <w:rFonts w:eastAsiaTheme="minorHAnsi"/>
              <w:bCs/>
              <w:i/>
              <w:szCs w:val="24"/>
              <w:lang w:bidi="ar-SA"/>
            </w:rPr>
          </w:pPr>
          <w:r w:rsidRPr="00D703F8">
            <w:rPr>
              <w:rFonts w:eastAsiaTheme="minorHAnsi"/>
              <w:bCs/>
              <w:i/>
              <w:szCs w:val="24"/>
              <w:lang w:bidi="ar-SA"/>
            </w:rPr>
            <w:t>The following questions are from paragraphs 1-3 only.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703F8" w:rsidRPr="00D703F8" w:rsidRDefault="00D703F8" w:rsidP="00D703F8">
          <w:pPr>
            <w:pStyle w:val="Header"/>
          </w:pPr>
        </w:p>
      </w:tc>
    </w:tr>
  </w:tbl>
  <w:p w:rsidR="00D703F8" w:rsidRPr="00D703F8" w:rsidRDefault="00D703F8" w:rsidP="00D703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267"/>
    <w:rsid w:val="00132267"/>
    <w:rsid w:val="00B4038E"/>
    <w:rsid w:val="00CE5F00"/>
    <w:rsid w:val="00D703F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  <w:rPr>
      <w:rFonts w:ascii="Avenir Next Condensed Regular" w:hAnsi="Avenir Next Condensed Regular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F8"/>
    <w:rPr>
      <w:rFonts w:ascii="Avenir Next Condensed Regular" w:hAnsi="Avenir Next Condensed Regular"/>
    </w:rPr>
  </w:style>
  <w:style w:type="paragraph" w:styleId="Footer">
    <w:name w:val="footer"/>
    <w:basedOn w:val="Normal"/>
    <w:link w:val="FooterChar"/>
    <w:uiPriority w:val="99"/>
    <w:semiHidden/>
    <w:unhideWhenUsed/>
    <w:rsid w:val="00D70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3F8"/>
    <w:rPr>
      <w:rFonts w:ascii="Avenir Next Condensed Regular" w:hAnsi="Avenir Next Condensed Regular"/>
    </w:rPr>
  </w:style>
  <w:style w:type="table" w:styleId="TableGrid">
    <w:name w:val="Table Grid"/>
    <w:basedOn w:val="TableNormal"/>
    <w:uiPriority w:val="1"/>
    <w:rsid w:val="00D703F8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5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9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6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99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17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9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86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9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040DDF78838E43BC3C9F753E07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B48C-A497-1240-BE2C-F2E448C29624}"/>
      </w:docPartPr>
      <w:docPartBody>
        <w:p w:rsidR="00616122" w:rsidRDefault="00616122" w:rsidP="00616122">
          <w:pPr>
            <w:pStyle w:val="DD040DDF78838E43BC3C9F753E075BF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16122"/>
    <w:rsid w:val="006161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D24F31B9899984BB73F96CE1AB8AF21">
    <w:name w:val="9D24F31B9899984BB73F96CE1AB8AF21"/>
    <w:rsid w:val="00616122"/>
  </w:style>
  <w:style w:type="paragraph" w:customStyle="1" w:styleId="6C1DC5033C0EFA44A977D4509F5DF17F">
    <w:name w:val="6C1DC5033C0EFA44A977D4509F5DF17F"/>
    <w:rsid w:val="00616122"/>
  </w:style>
  <w:style w:type="paragraph" w:customStyle="1" w:styleId="47D41A5DD7D9E846BA2573C1219ADA92">
    <w:name w:val="47D41A5DD7D9E846BA2573C1219ADA92"/>
    <w:rsid w:val="00616122"/>
  </w:style>
  <w:style w:type="paragraph" w:customStyle="1" w:styleId="DD040DDF78838E43BC3C9F753E075BF8">
    <w:name w:val="DD040DDF78838E43BC3C9F753E075BF8"/>
    <w:rsid w:val="00616122"/>
  </w:style>
  <w:style w:type="paragraph" w:customStyle="1" w:styleId="117E62097A90B64CB91143C043D6DEB4">
    <w:name w:val="117E62097A90B64CB91143C043D6DEB4"/>
    <w:rsid w:val="006161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49C-896F-3A4F-8F85-8FAAD13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“Where I Lived, and What I lived for” – Thoreau – Multiple-choice Practice</dc:title>
  <dc:subject/>
  <dc:creator>Kari Reed</dc:creator>
  <cp:keywords/>
  <cp:lastModifiedBy>Kari Reed</cp:lastModifiedBy>
  <cp:revision>1</cp:revision>
  <dcterms:created xsi:type="dcterms:W3CDTF">2015-12-07T17:13:00Z</dcterms:created>
  <dcterms:modified xsi:type="dcterms:W3CDTF">2015-12-07T18:59:00Z</dcterms:modified>
</cp:coreProperties>
</file>